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/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</w:t>
      </w:r>
      <w:r>
        <w:rPr>
          <w:rFonts w:cs="Calibri" w:ascii="Times New Roman" w:hAnsi="Times New Roman"/>
          <w:sz w:val="22"/>
          <w:szCs w:val="22"/>
        </w:rPr>
        <w:t>16</w:t>
      </w:r>
      <w:r>
        <w:rPr>
          <w:rFonts w:cs="Calibri" w:ascii="Times New Roman" w:hAnsi="Times New Roman"/>
          <w:sz w:val="22"/>
          <w:szCs w:val="22"/>
        </w:rPr>
        <w:t>/1</w:t>
      </w:r>
      <w:r>
        <w:rPr>
          <w:rFonts w:cs="Calibri" w:ascii="Times New Roman" w:hAnsi="Times New Roman"/>
          <w:sz w:val="22"/>
          <w:szCs w:val="22"/>
        </w:rPr>
        <w:t>1</w:t>
      </w:r>
      <w:r>
        <w:rPr>
          <w:rFonts w:cs="Calibri" w:ascii="Times New Roman" w:hAnsi="Times New Roman"/>
          <w:sz w:val="22"/>
          <w:szCs w:val="22"/>
        </w:rPr>
        <w:t>/202</w:t>
      </w:r>
      <w:r>
        <w:rPr>
          <w:rFonts w:cs="Calibri" w:ascii="Times New Roman" w:hAnsi="Times New Roman"/>
          <w:sz w:val="22"/>
          <w:szCs w:val="22"/>
        </w:rPr>
        <w:t>2</w:t>
      </w:r>
      <w:r>
        <w:rPr>
          <w:rFonts w:cs="Calibri" w:ascii="Times New Roman" w:hAnsi="Times New Roman"/>
          <w:sz w:val="22"/>
          <w:szCs w:val="22"/>
        </w:rPr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 xml:space="preserve">Pińczów, dnia </w:t>
      </w:r>
      <w:r>
        <w:rPr>
          <w:rFonts w:cs="Calibri" w:ascii="Times New Roman" w:hAnsi="Times New Roman" w:cstheme="minorHAnsi"/>
          <w:sz w:val="22"/>
          <w:szCs w:val="22"/>
        </w:rPr>
        <w:t>15</w:t>
      </w:r>
      <w:r>
        <w:rPr>
          <w:rFonts w:cs="Calibri" w:ascii="Times New Roman" w:hAnsi="Times New Roman" w:cstheme="minorHAnsi"/>
          <w:sz w:val="22"/>
          <w:szCs w:val="22"/>
        </w:rPr>
        <w:t>.1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.202</w:t>
      </w:r>
      <w:r>
        <w:rPr>
          <w:rFonts w:cs="Calibri" w:ascii="Times New Roman" w:hAnsi="Times New Roman" w:cstheme="minorHAnsi"/>
          <w:sz w:val="22"/>
          <w:szCs w:val="22"/>
        </w:rPr>
        <w:t>2</w:t>
      </w:r>
      <w:r>
        <w:rPr>
          <w:rFonts w:cs="Calibri" w:ascii="Times New Roman" w:hAnsi="Times New Roman" w:cstheme="minorHAnsi"/>
          <w:sz w:val="22"/>
          <w:szCs w:val="22"/>
        </w:rPr>
        <w:t>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>zakup i dostawę do siedziby Zamawiającego sprzętu medycznego jednorazowego użytku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360" w:after="120"/>
        <w:ind w:hanging="0"/>
        <w:jc w:val="both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 xml:space="preserve">– Zespół Opieki Zdrowotnej w Pińczowie, udziela na podstawie art. 284 ust. 2 ustawy PZP odpowiedzi na wnioski Wykonawców złożone w przedmiotowym postępowaniu w dniu </w:t>
      </w:r>
      <w:r>
        <w:rPr>
          <w:rFonts w:cs="Calibri" w:ascii="Times New Roman" w:hAnsi="Times New Roman" w:cstheme="minorHAnsi"/>
          <w:sz w:val="22"/>
          <w:szCs w:val="22"/>
        </w:rPr>
        <w:t>14</w:t>
      </w:r>
      <w:r>
        <w:rPr>
          <w:rFonts w:cs="Calibri" w:ascii="Times New Roman" w:hAnsi="Times New Roman" w:cstheme="minorHAnsi"/>
          <w:sz w:val="22"/>
          <w:szCs w:val="22"/>
        </w:rPr>
        <w:t>.1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.202</w:t>
      </w:r>
      <w:r>
        <w:rPr>
          <w:rFonts w:cs="Calibri" w:ascii="Times New Roman" w:hAnsi="Times New Roman" w:cstheme="minorHAnsi"/>
          <w:sz w:val="22"/>
          <w:szCs w:val="22"/>
        </w:rPr>
        <w:t>2</w:t>
      </w:r>
      <w:r>
        <w:rPr>
          <w:rFonts w:cs="Calibri" w:ascii="Times New Roman" w:hAnsi="Times New Roman" w:cstheme="minorHAnsi"/>
          <w:sz w:val="22"/>
          <w:szCs w:val="22"/>
        </w:rPr>
        <w:t xml:space="preserve"> r.</w:t>
      </w:r>
    </w:p>
    <w:p>
      <w:pPr>
        <w:pStyle w:val="Normal"/>
        <w:numPr>
          <w:ilvl w:val="0"/>
          <w:numId w:val="1"/>
        </w:numPr>
        <w:ind w:left="284" w:right="281" w:hanging="0"/>
        <w:jc w:val="both"/>
        <w:rPr>
          <w:lang w:val="pl-PL" w:eastAsia="en-US" w:bidi="ar-SA"/>
        </w:rPr>
      </w:pPr>
      <w:r>
        <w:rPr>
          <w:rFonts w:cs="Calibri" w:ascii="Calibri" w:hAnsi="Calibri"/>
          <w:sz w:val="22"/>
          <w:szCs w:val="22"/>
          <w:lang w:val="pl-PL" w:eastAsia="en-US" w:bidi="ar-SA"/>
        </w:rPr>
        <w:t xml:space="preserve">Czy w </w:t>
      </w:r>
      <w:r>
        <w:rPr>
          <w:rFonts w:cs="Calibri" w:ascii="Calibri" w:hAnsi="Calibri"/>
          <w:b/>
          <w:bCs/>
          <w:sz w:val="22"/>
          <w:szCs w:val="22"/>
          <w:u w:val="single"/>
          <w:lang w:val="pl-PL" w:eastAsia="en-US" w:bidi="ar-SA"/>
        </w:rPr>
        <w:t>Pakiecie nr 2 w poz. 35</w:t>
      </w:r>
      <w:r>
        <w:rPr>
          <w:rFonts w:cs="Calibri" w:ascii="Calibri" w:hAnsi="Calibri"/>
          <w:b/>
          <w:bCs/>
          <w:sz w:val="22"/>
          <w:szCs w:val="22"/>
          <w:lang w:val="pl-PL" w:eastAsia="en-US" w:bidi="ar-SA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en-US" w:bidi="ar-SA"/>
        </w:rPr>
        <w:t xml:space="preserve"> powinny być zaoferowane szczoteczki cytologiczne, których efektywność została klinicznie zweryfikowana?</w:t>
      </w:r>
    </w:p>
    <w:p>
      <w:pPr>
        <w:pStyle w:val="Normal"/>
        <w:numPr>
          <w:ilvl w:val="0"/>
          <w:numId w:val="0"/>
        </w:numPr>
        <w:ind w:left="1004" w:right="281" w:hanging="0"/>
        <w:jc w:val="both"/>
        <w:rPr>
          <w:lang w:val="pl-PL" w:eastAsia="en-US" w:bidi="ar-SA"/>
        </w:rPr>
      </w:pPr>
      <w:bookmarkStart w:id="0" w:name="__DdeLink__79_1351080350"/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  <w:lang w:val="pl-PL" w:eastAsia="en-US" w:bidi="ar-SA"/>
        </w:rPr>
        <w:t>Odpowiedź:</w:t>
      </w:r>
    </w:p>
    <w:p>
      <w:pPr>
        <w:pStyle w:val="Normal"/>
        <w:numPr>
          <w:ilvl w:val="0"/>
          <w:numId w:val="0"/>
        </w:numPr>
        <w:ind w:left="1004" w:right="281" w:hanging="0"/>
        <w:jc w:val="both"/>
        <w:rPr>
          <w:b w:val="false"/>
          <w:b w:val="false"/>
          <w:bCs w:val="false"/>
          <w:u w:val="none"/>
          <w:lang w:val="pl-PL" w:eastAsia="en-US" w:bidi="ar-SA"/>
        </w:rPr>
      </w:pPr>
      <w:bookmarkStart w:id="1" w:name="__DdeLink__79_1351080350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 w:eastAsia="en-US" w:bidi="ar-SA"/>
        </w:rPr>
        <w:t xml:space="preserve">Zamawiający dopuszcza </w:t>
      </w:r>
      <w:bookmarkEnd w:id="1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 w:eastAsia="en-US" w:bidi="ar-SA"/>
        </w:rPr>
        <w:t>ale nie wymaga.</w:t>
      </w:r>
    </w:p>
    <w:p>
      <w:pPr>
        <w:pStyle w:val="Normal"/>
        <w:ind w:left="284" w:right="281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284" w:right="281" w:hanging="0"/>
        <w:jc w:val="both"/>
        <w:rPr/>
      </w:pPr>
      <w:r>
        <w:rPr>
          <w:rFonts w:eastAsia="Calibri" w:cs="Calibri" w:ascii="Calibri" w:hAnsi="Calibri"/>
          <w:b/>
          <w:bCs/>
          <w:i w:val="false"/>
          <w:iCs w:val="false"/>
          <w:sz w:val="22"/>
          <w:szCs w:val="22"/>
          <w:u w:val="single"/>
          <w:lang w:val="pl-PL"/>
        </w:rPr>
        <w:t>Uprzejmie prosimy</w:t>
      </w:r>
      <w:r>
        <w:rPr>
          <w:rFonts w:eastAsia="Calibri" w:cs="Calibri" w:ascii="Calibri" w:hAnsi="Calibri"/>
          <w:b/>
          <w:bCs/>
          <w:i w:val="false"/>
          <w:iCs w:val="false"/>
          <w:sz w:val="22"/>
          <w:szCs w:val="22"/>
          <w:u w:val="single"/>
        </w:rPr>
        <w:t xml:space="preserve"> o wyrażenie zgody na wydzielenie z Pakietu nr 2 poz. 35   do odrębnego pakietu.</w:t>
      </w:r>
      <w:r>
        <w:rPr>
          <w:rFonts w:eastAsia="Calibri" w:cs="Calibri" w:ascii="Calibri" w:hAnsi="Calibri"/>
          <w:b/>
          <w:bCs/>
          <w:i w:val="false"/>
          <w:iCs w:val="false"/>
          <w:sz w:val="22"/>
          <w:szCs w:val="22"/>
          <w:u w:val="single"/>
          <w:lang w:val="pl-PL"/>
        </w:rPr>
        <w:t xml:space="preserve">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Pozostawienie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>pakietu w obecnym kształcie preferuje konkretne podmioty,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ogranicza konkurencję wyłącznie do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 xml:space="preserve">dużych hurtowni i eliminuje z możliwości uczestniczenia w postępowaniu podmioty wysoko wyspecjalizowane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posiadając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>e dużą wiedzę merytoryczną na temat oferowanych produktów i w sposób szczególny dbający o ich jakość.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Dodatkowo wydzielenie z pakietu pozwoli na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>wzięcie udziału w przetargu większej liczby oferentów, a tym samym, pozytywnie wpłynie na możliwość wyłonienia przez Zamawiającego najkorzystniejszej oferty.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1004" w:right="281" w:hanging="0"/>
        <w:jc w:val="both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Odpowiedź: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Nie, Zamawiający nie wyraża zgody.</w:t>
      </w:r>
    </w:p>
    <w:p>
      <w:pPr>
        <w:pStyle w:val="Normal"/>
        <w:spacing w:lineRule="auto" w:line="276" w:before="0" w:after="120"/>
        <w:ind w:left="284" w:right="281" w:hanging="0"/>
        <w:jc w:val="both"/>
        <w:rPr>
          <w:rFonts w:cs="Calibri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Poniższy wniosek dotyczy opisu przedmiotów zamówienia w pakiecie 2, poz. 56 w przedmiotowym postępowaniu:</w:t>
      </w:r>
    </w:p>
    <w:p>
      <w:pPr>
        <w:pStyle w:val="Normal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Uprzejmie prosimy o wydzielenie pozycji 56 z pakietu 2 oraz utworzenie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pakiecie?</w:t>
      </w:r>
    </w:p>
    <w:p>
      <w:pPr>
        <w:pStyle w:val="Normal"/>
        <w:numPr>
          <w:ilvl w:val="0"/>
          <w:numId w:val="0"/>
        </w:numPr>
        <w:ind w:left="720" w:hanging="0"/>
        <w:rPr>
          <w:rFonts w:cs="Calibri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Odpowiedź: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Nie, Zamawiający nie wyraża zgody.</w:t>
      </w:r>
    </w:p>
    <w:p>
      <w:pPr>
        <w:pStyle w:val="Normal"/>
        <w:numPr>
          <w:ilvl w:val="0"/>
          <w:numId w:val="3"/>
        </w:numPr>
        <w:rPr/>
      </w:pPr>
      <w:r>
        <w:rPr/>
        <w:t>Czy Zamawiający dopuści zaoferowanie nakłuwaczy o parametrach 21Gx1,8mm oraz 21Gx2,4mm?</w:t>
      </w:r>
    </w:p>
    <w:p>
      <w:pPr>
        <w:pStyle w:val="Normal"/>
        <w:numPr>
          <w:ilvl w:val="0"/>
          <w:numId w:val="0"/>
        </w:numPr>
        <w:ind w:left="1004" w:right="281" w:hanging="0"/>
        <w:jc w:val="both"/>
        <w:rPr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  <w:lang w:val="pl-PL" w:eastAsia="en-US" w:bidi="ar-SA"/>
        </w:rPr>
        <w:t>Odpowiedź:</w:t>
      </w:r>
    </w:p>
    <w:p>
      <w:pPr>
        <w:pStyle w:val="Normal"/>
        <w:numPr>
          <w:ilvl w:val="0"/>
          <w:numId w:val="0"/>
        </w:numPr>
        <w:ind w:left="1004" w:right="281" w:hanging="0"/>
        <w:jc w:val="both"/>
        <w:rPr>
          <w:b w:val="false"/>
          <w:b w:val="false"/>
          <w:bCs w:val="false"/>
          <w:u w:val="none"/>
          <w:lang w:val="pl-PL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 w:eastAsia="en-US" w:bidi="ar-SA"/>
        </w:rPr>
        <w:t>Zamawiający dopuszcza, reszta parametrów zgodnie z SWZ.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Poniższy wniosek dotyczy opisu przedmiotów zamówienia w pakiecie 2, poz. 156 w przedmiotowym postępowaniu:</w:t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284" w:right="281" w:hanging="0"/>
        <w:jc w:val="both"/>
        <w:rPr>
          <w:rFonts w:cs="Calibri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Uprzejmie prosimy o wydzielenie pozycji 156 z pakietu 2 oraz utworzenie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pakiecie?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1004" w:right="281" w:hanging="0"/>
        <w:jc w:val="both"/>
        <w:rPr>
          <w:rFonts w:cs="Calibri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Odpowiedź: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Nie, Zamawiający nie wyraża zgody.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Tekstpodstawowywcity3">
    <w:name w:val="Tekst podstawowy wcięty 3"/>
    <w:basedOn w:val="Normal"/>
    <w:qFormat/>
    <w:pPr>
      <w:ind w:left="0" w:right="0" w:firstLine="709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LibreOffice/6.2.5.2$Windows_x86 LibreOffice_project/1ec314fa52f458adc18c4f025c545a4e8b22c159</Application>
  <Pages>2</Pages>
  <Words>350</Words>
  <Characters>2437</Characters>
  <CharactersWithSpaces>2774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2021-10-25T12:37:00Z</dcterms:created>
  <dc:creator>Dorota</dc:creator>
  <dc:description/>
  <dc:language>pl-PL</dc:language>
  <cp:lastModifiedBy/>
  <cp:lastPrinted>2022-11-15T07:48:30Z</cp:lastPrinted>
  <dcterms:modified xsi:type="dcterms:W3CDTF">2022-11-15T07:48:34Z</dcterms:modified>
  <cp:revision>7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